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Alongi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G.C., T.A.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Helble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R.A.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Guazzo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, S.W. Martin, C.R. Martin, and E.E. Henderson. (2024). Strengths and weaknesses of using DCLDE algorithms to track baleen whales and examine their behavior using long-term acoustic recordings with a large-scale hydrophone array. Detection, Classification, Localization, and Density Estimation (DCLDE) of Marine Mammals Workshop. June 3-7, 2024. Rotterdam, The Netherlands.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Barratclough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A., Takeshita, R., Thomas, L.,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Photopoulou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T.,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Pirotta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E.,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Rosel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P.E., Wilcox Talbot, L.A., Vollmer, N.L., Wells, R., Smith, C.R., Rowles, T.K., Horvath, S., and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Schwacke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, L. (2024). Estimating age and investigating epigenetic changes related to health across multiple bottlenose dolphin populations. Biological Conservation, 293: 110570.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Bowman, V., Jenkins, K.A., Dahl, P.H.,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Kotecki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S.E., Casper, B.M.,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Boerger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, C., Smith, M.E. and Popper, A.N. (2024). Injuries to Pacific mackerel (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Scomber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japonicus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) from underwater explosions. ICES Journal of Marine Science, Volume 81, Issue 8, October 2024, Pages 1685–1695, https://doi.org/10.1093/icesjms/fsae116.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</w:pP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Branstetter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, B., </w:t>
            </w: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Felice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, M., </w:t>
            </w: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Robeck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, T., Holt, M.M., and Henderson, E.E. (2024). Auditory masking of tonal and conspecific signals by continuous active sonar, amplitude modulated noise, and Gaussian noise in killer whales (</w:t>
            </w: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Orcinus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 orca). Journal of the Acoustical Society of America, 156(4): 2527-2537.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Bukoski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A., Downs, J., Hodgson, D.S., Le-Bert, C.R.,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Thomen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R.,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Flors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L.,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Thombs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L., and Bailey, J. (2024). Cardiopulmonary effects of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apneustic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 anesthesia ventilation in anesthetized pigs: A new mode of ventilation for anesthetized veterinary species. Anesthesiology and Animal Pain Management, 11: 1378617.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Christman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K.A.,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Finneran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J.J.,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Merk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S.,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Mulsow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J., Houser, D.S. and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Gentner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T.Q. (2024). Differences between a successive versus simultaneous range discrimination task in an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echolocating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 bottlenose dolphin (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Tursiops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truncatus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). The Journal of the Acoustical Society of America, 156(6): 3852-3861.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</w:pP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Christman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, K.A., </w:t>
            </w: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Finneran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, J.J., </w:t>
            </w: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Mulsow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, J., and Houser, D.S., and </w:t>
            </w: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Gentner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, T.Q. (2024). The effects of range and echo-phase on range resolution in bottlenose dolphins (</w:t>
            </w: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Tursiops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truncatus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) performing a successive comparison task. The Journal of the Acoustical Society of America, 155(1): 274-283.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Finneran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J.J.,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Lally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K.,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Mulsow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, J. and Houser, D.S. (2024). Dolphin short-term auditory fatigue and self-mitigation. The Journal of the Acoustical Society of America, 155(3): 2241-2246.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Greenfield-Feig, M.R.,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Meegan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, J.M., McClain, A.M., Brodie, E.C., Stacy, N.I., Le-Bert, C.R., and Jensen, E.D. (2024). Blood gas data in healthy Atlantic bottlenose dolphins (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Tursiops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truncatus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). Presented at International Association for Marine Mammal Medicine, May 19-23, 2024, Galway, Ireland.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Gruden, P.,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Nosal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, E-M., and Henderson, E.E. (2024). Automated acoustic tracking of a sperm whale (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Physeter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macrocephalus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) using a wide baseline array of sensors. 27th International Conference on Information Fusion (FUSION). July 7-11, 2024. Venice, Italy.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</w:pP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Guazzo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, R.A., Stevenson, D.L., </w:t>
            </w: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Edell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, M.K., Gagnon, G.J., and </w:t>
            </w: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Helble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, T.A. (2024). A decade of change and stability for fin whale song in the North Atlantic. Frontiers in Marine Science, 11, 1278068.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</w:pP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lastRenderedPageBreak/>
              <w:t>Helble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, T.A., </w:t>
            </w: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Alongi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, G.C., </w:t>
            </w: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Guazzo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, R.A., </w:t>
            </w: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Allhusen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, D.R., Martin, C.R., Martin, S.W., </w:t>
            </w: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Durbach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, I.N., and Henderson, E.E. (2024). Swimming and acoustic calling behavior attributed to </w:t>
            </w: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Bryde’s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 whales in the central North Pacific. Frontiers in Marine Science, 11, 1305505.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Henderson, E.E., Cárdenas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Hinososa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G., Huerta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Patiño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R., Arcos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Díaz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J.,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Martínez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 Aguilar, S., Pitman, R., and Barlow, J. (2024). Summary report on the 2023 collaborative beaked whale cruise off Baja California, Mexico. NIWC Pacific Technical Report 3346.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</w:pPr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Henderson, E.E., Baird, R.W., Martin, C.R., </w:t>
            </w: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Kratofil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, M.A., </w:t>
            </w: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Harnish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, A.E., Martin, S.W., and </w:t>
            </w: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Southall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, B.L. (2024). Behavioral response of </w:t>
            </w: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Blainville’s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 beaked whales (</w:t>
            </w: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Mesoplodon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densirostris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) to U.S. Navy training activity. 8th International Bio-Logging Science Symposium. 4 – 8 March, 2024. Tokyo, Japan.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Henderson, E.E., Gomez, F., Rojas-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Bracho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, L., Smith, C., Jaramillo-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Legorreta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A., D’Angelo, B., Valdivia, T., Taylor, B.,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Mesnick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S.,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Benham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P., Martz, K.,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Dalo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M.,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Nowell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K., Moore, M.J.,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Helble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T., Towns, V.,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Sanjurjo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E., Bauer, B., &amp;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Grenzeback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R. (2024). Operation Esperanza: Hope for the endangered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vaquita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. 25th Biennial Conference on the Biology of Marine Mammals. 11-15 November, 2024, Perth, Australia.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Holmes, A.E., Chew, B.H., Laughlin, R., Buckley, J.,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Kiewice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E.,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Dancel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M.J.,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Blasko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D., Wong, V.K.F.,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Halawani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A., Koo, K.C.,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Corl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D.,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Fasolo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P., Levy, O., Thiel, J., Bailey, M.R.,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Eichman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J.,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Meegan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J.M., &amp;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Haulena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, M. (2024). Application of novel burst wave lithotripsy and ultrasonic propulsion technology for the treatment of ureteral calculi in a bottlenose dolphin (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Tursiops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truncatus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) and renal calculi in a harbor seal (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Phoca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vitulina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).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Urolithiasis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, 52(21).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</w:pPr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Houser, D.S. and </w:t>
            </w: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Mulsow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, J. (2024). Acoustics. In M. A. </w:t>
            </w: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Castellini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 and J. A. E. </w:t>
            </w: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Mellish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 (Eds.), Marine mammal physiology: Requisites for ocean living. 2nd Edition (pp. 117-136). Boca Raton: CRC Press.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Houser, D.S.,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Kvadsheim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P.H.,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Kleivane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L.,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Mulsow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J.,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Ølberg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R.A., Harms, C.A.,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Teilmann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J., and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Finneran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, J.J. (2024). Direct hearing measurements in a baleen whale suggest ultrasonic sensitivity. Science, 386: 902-906.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Houser, D.S.,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Kvadsheim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P.H.,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Kleivane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L.,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Mulsow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J.,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Ølberg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R.A., Harms, C.A.,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Teilmann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J., and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Finneran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J.J. (2024). First evoked potential hearing test performed in a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minke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 whale. Presented at 25th Biennial Conference on the Biology of Marine Mammals (Perth, Australia, 11 – 15 November 2024).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Jones, B.,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Sportelli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J., McClain, A., and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Karnowski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J. (2024). Dolphin health classification from whistle features using machine learning. Presented at the Society of Marine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Mammology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, 11-15 November, 2024, Perth, Western Australia.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Jones, B.,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Sportelli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J.,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Karnowski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, J., McClain, A., Cardoso, D., and Du, M. (2024). Dolphin health classifications from whistle features. Journal of Marine Science and Engineering, 12, 2158.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Jones, B.L.,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Randich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, J., and Rainey, K. (2024). Feasibility of leveraging DAS for Arctic undersea monitoring, Technical Report, 3363.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</w:pP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Kleivane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, L., </w:t>
            </w: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Kvadsheim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, P. H., </w:t>
            </w: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Vinje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, A. V. P., </w:t>
            </w: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Mulsow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, J., </w:t>
            </w: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Olberg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, R. A., </w:t>
            </w: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Teilmann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, J., Harms, C. and Houser, D. (2024). Capture and release of </w:t>
            </w: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minke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 whales offers new research opportunities including measurements of </w:t>
            </w: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mysticete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 hearing. Aquatic Mammals, 50: 352-368.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Krucick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D.D.R, Kendall-Bar, J., Von Stein, E.L.,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Linnehan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B.K., Field, C., Costa, D.P., and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Buckmaster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, P.S. (2024). Untethered EEG recording in California sea lions (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Zalophus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californianus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) to detect spontaneous seizures. Presented at the International Association for Marine Mammal Medicine, May 19-23, 2024, Galway, Ireland.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 xml:space="preserve">Le-Bert, C.R.,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Bukoski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A., Downs, J., Hodgson, D.S.,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Thombs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L., Ridgway, S.H., &amp; Bailey, J. (2024).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Apneustic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 anesthesia ventilation improves pulmonary function in anesthetized bottlenose dolphins (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Tursiops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truncatus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). Frontiers in Veterinary Science, 11: 1287478.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Le‐Bert, C.R., Mitchell, G.S., and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Reznikov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, L.R. (2024). Cardiopulmonary adaptations of a diving marine mammal, the bottlenose dolphin: Physiology during anesthesia. Physiological Reports, 12(17): e16183.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Linnehan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B.K., Kodera, S.M., Allard, S.M., Brodie, E.C.,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Allaband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C., Knight, R., Lutz, H.L., Carroll, M.C.,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Meegan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, J.M., Jensen, E.D., &amp; Gilbert, J.A. (2024). Evaluation of the safety and efficacy of fecal microbiota transplantations in bottlenose dolphins (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Tursiops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truncatus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) using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metagenomic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 sequencing. Journal of Applied Microbiology, 135(2): Ixae026.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Linnehan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B.K., McClain, A.M.,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Eichman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, J.J., Middleton, J.L., and Hsu, A. (2024). Cardiac assessments in managed California sea lions (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Zalophus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californianus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): Echocardiographic parameters in awake sea lions, vertebral heart scores, and cardiac troponin I concentrations. Presented at the International Association for Marine Mammal Medicine, May 19-23, 2024, Galway, Ireland.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Linnehan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B.K., Breeden, E.L., Smith, L.D., Adams, C.J., Remer, J.D., Hsu, A., and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Virgilio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, K.M. (2024). Development and applications of a wireless, mobile electrocardiogram for bottlenose dolphins in the marine environment: The submersible wireless marine mammal monitor (SWiM3). Presented at the International Association for Marine Mammal Medicine, May 19-23, 2024, Galway, Ireland.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Linnehan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B.K.,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Lesman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S.P., Boucher, J.F., Grover, G.S., Brodie, E.C.,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Meegan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J.M., McClain, A.M., Ross, K.P., and Jensen, E.D. (2024). Population pharmacokinetics of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cefpodoxime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 in bottlenose dolphins (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Tursiops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truncatus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). Journal of Zoo and Wildlife Medicine, 55(3), pp. 611-619.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Martin C.R., Henderson, E.E., Baird, R.W.,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Kratofil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M.A. and Martin, S.W. (2024). Rough-toothed dolphin exposures to U.S. Navy mid-frequency active sonar at the Pacific missile range facility, </w:t>
            </w:r>
            <w:proofErr w:type="gram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Hawai‘</w:t>
            </w:r>
            <w:proofErr w:type="gram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i. Virtual presentation at Detection, Classification, Localization, and Density Estimation (DCLDE) of Marine Mammals Workshop. June 3-7, 2024. Rotterdam, The Netherlands.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Martin, C.R., Henderson, E.E., Martin, S.W.,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Helble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T.A.,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Alongi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G.C. and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Guazzo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, R.A. (2024). FY23 annual report on Pacific missile range facility marine mammal monitoring. Naval Information Warfare Center Pacific.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McClain, A.M., Gomez, F.M., Ross, K.P.,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Meegan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J.M.,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Ivancic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M.,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Linnehan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, B.K., Thomas, K.E., and Jensen, E.D. (2024). Positive-contrast Barium gastrointestinal imaging of the bottlenose dolphin (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Tursiops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truncatus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): A case series. Presented at International Association for Marine Mammal Medicine, May 19-23, 2024, Galway, Ireland.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</w:pPr>
          </w:p>
          <w:p w:rsid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</w:pPr>
          </w:p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</w:pPr>
            <w:bookmarkStart w:id="0" w:name="_GoBack"/>
            <w:bookmarkEnd w:id="0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lastRenderedPageBreak/>
              <w:t xml:space="preserve">McCullough, J.L., Henderson, E.E., </w:t>
            </w: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Trickey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, J.S., Barlow, J., Baumann‐Pickering, S., </w:t>
            </w: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Manzano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‐Roth, R., </w:t>
            </w: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Alongi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, G., Martin, S., </w:t>
            </w: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Fregosi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, S., </w:t>
            </w: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Mellinger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, D.K., and </w:t>
            </w:r>
            <w:proofErr w:type="spellStart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Klinck</w:t>
            </w:r>
            <w:proofErr w:type="spellEnd"/>
            <w:r w:rsidRPr="003F61AF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>, H. (2024). Geographic distribution of the Cross Seamount beaked whale based on acoustic detections. Marine Mammal Science, 40(1), 164-183.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Meegan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J., Ross, K.,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Gildea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T.,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Linnehan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B., McClain, A., and Jensen, E. (2024). Evaluation of mobile 2D and 3D C-arm technology (Siemens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Cios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 Spin) for diagnostic imaging applications with bottlenose dolphins (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Tursiops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truncatus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) and a California sea lion (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Zalophus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californianus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). Presented at International Association for Marine Mammal Medicine, May 19-23, 2024, Galway, Ireland.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Merk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S., Rodriguez, M.,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Christman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K.A., Espinoza, C.,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Mulsow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J., and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Finneran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J.J. (2024). A mind blowing ability: Mental representation of object shape by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echolocating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 dolphins. Presented at International Marine Animal Trainers’ Association (San Antonio, TX, 7 – 11 April, 2024).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Mulsow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J.,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Accomando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A.W.,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Christman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K.A., Houser, D.S. and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Finneran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, J.J. (2024). Discrimination of double-click synthetic echoes by bottlenose dolphins: Effects of inter-highlight interval and phase. The Journal of the Acoustical Society of America, 156(3): 1973-1984.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Ramos, A., Roberts, D.,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Winship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K., and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Xitco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M. (2024). Using computerized, cognitive enrichment to engage California sea lions and gain insight into individual differences in learning processes. Presented at European Association for Aquatic Mammals, March 12th – 15th , 2024,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Loro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Parque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, Tenerife, Spain.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Ross, K.,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Meegan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J., Miller, R.,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Gildea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, T., Cheng, G., Le-Bert, C.R., Bailey, J., Balko, J., and Jensen, E. (2024). Management of complex airway stenosis in bottlenose dolphins (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Tursiops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truncatus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) with interventional radiology and pulmonology techniques: A case series. Presented at International Association for Marine Mammal Medicine, May 19-23, 2024, Galway, Ireland.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Sacco, R. E., Jensen, E. D., Sullivan, Y. B.,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LaBresh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J., &amp; Davis, W. C. (2024). An update on the development of a bottlenose dolphin,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Tursiops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truncatus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, immune reagent toolkit. Veterinary Immunology and Immunopathology, 272: 110769.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Smith, C., Gomez, F., Ross, K., Moore, M.J., Petersen, B., Welch, E., Friend, M., Takeshita, R., and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Schwacke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L. (2024). Development of a minimally-invasive blood collection device for cetaceans. Presented at the Society of Marine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Mammaology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, 11-15 November, 2024, Perth, Western Australia.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Sportelli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J.J.,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Heimann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, K.M., and Jones, B.L. (2024). Moderate anthropogenic noise exposure does not affect Navy bottlenose dolphin (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Tursiops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truncatus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) whistle rates. Journal of Marine Science and Engineering, 12(3), 441.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Stone, H. M.,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Unal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, E., Romano, T.A., and Turner, P.E. (2024). Beluga whale and bottlenose dolphin ACE2 proteins allow cell entry mediated by spike protein from three variants of SARS-CoV-2. Biology Letters, 19(12), 20230321.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U.S. Department of the Navy. (2024). Criteria and thresholds for U.S. Navy acoustic and explosive effects analysis (phase IV). San Diego, CA: Naval Information Warfare Center, Pacific. September 2024.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 xml:space="preserve">Von Stein, E.,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Krucik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D., Kendall-Bar, J.,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Linnehan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, B., Field, C., Costa, D., and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Buckmaster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, P. (2024). Untethered long term EEG monitoring in California sea lions (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Zalophus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californianus</w:t>
            </w:r>
            <w:proofErr w:type="spellEnd"/>
            <w:r w:rsidRPr="003F61AF">
              <w:rPr>
                <w:rFonts w:ascii="Calibri" w:eastAsia="Times New Roman" w:hAnsi="Calibri" w:cs="Calibri"/>
                <w:sz w:val="24"/>
                <w:szCs w:val="24"/>
              </w:rPr>
              <w:t>). Presented at American Epilepsy Society, Los Angeles, CA, 06 December 2024.</w:t>
            </w:r>
          </w:p>
        </w:tc>
      </w:tr>
      <w:tr w:rsidR="003F61AF" w:rsidRPr="003F61AF" w:rsidTr="003F61A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3F61AF" w:rsidRPr="003F61AF" w:rsidRDefault="003F61AF" w:rsidP="003F61A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proofErr w:type="spellStart"/>
            <w:r w:rsidRPr="003F61AF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Winship</w:t>
            </w:r>
            <w:proofErr w:type="spellEnd"/>
            <w:r w:rsidRPr="003F61AF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, K., McClain, A., Ramos, A., Dunham, J., &amp; </w:t>
            </w:r>
            <w:proofErr w:type="spellStart"/>
            <w:r w:rsidRPr="003F61AF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Xitco</w:t>
            </w:r>
            <w:proofErr w:type="spellEnd"/>
            <w:r w:rsidRPr="003F61AF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Jr., M. (2024). Health and welfare benefits of computerized cognitive enrichment in California sea lions (</w:t>
            </w:r>
            <w:proofErr w:type="spellStart"/>
            <w:r w:rsidRPr="003F61AF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Zalophus</w:t>
            </w:r>
            <w:proofErr w:type="spellEnd"/>
            <w:r w:rsidRPr="003F61AF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F61AF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californianus</w:t>
            </w:r>
            <w:proofErr w:type="spellEnd"/>
            <w:r w:rsidRPr="003F61AF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) at the US Navy Marine Mammal Program. Animals, 14(7), 1120.</w:t>
            </w:r>
          </w:p>
        </w:tc>
      </w:tr>
    </w:tbl>
    <w:p w:rsidR="009543CB" w:rsidRDefault="009543CB"/>
    <w:sectPr w:rsidR="00954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AF"/>
    <w:rsid w:val="003F61AF"/>
    <w:rsid w:val="0095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8F184"/>
  <w15:chartTrackingRefBased/>
  <w15:docId w15:val="{2BDB25D8-86BD-448F-BE4D-2591A1F4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6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Patchouly</dc:creator>
  <cp:keywords/>
  <dc:description/>
  <cp:lastModifiedBy>Patchouly</cp:lastModifiedBy>
  <cp:revision>1</cp:revision>
  <dcterms:created xsi:type="dcterms:W3CDTF">2025-02-27T22:02:00Z</dcterms:created>
  <dcterms:modified xsi:type="dcterms:W3CDTF">2025-02-27T22:05:00Z</dcterms:modified>
</cp:coreProperties>
</file>